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cs="宋体"/>
          <w:bCs/>
          <w:sz w:val="44"/>
          <w:szCs w:val="44"/>
        </w:rPr>
      </w:pPr>
      <w:r>
        <w:rPr>
          <w:rFonts w:hint="eastAsia" w:ascii="黑体" w:eastAsia="黑体"/>
          <w:bCs/>
          <w:sz w:val="44"/>
          <w:szCs w:val="44"/>
        </w:rPr>
        <w:t>池州市</w:t>
      </w:r>
      <w:r>
        <w:rPr>
          <w:rFonts w:hint="eastAsia" w:ascii="黑体" w:eastAsia="黑体"/>
          <w:bCs/>
          <w:sz w:val="44"/>
          <w:szCs w:val="44"/>
          <w:lang w:val="en-US" w:eastAsia="zh-CN"/>
        </w:rPr>
        <w:t>政府办（外事办）</w:t>
      </w:r>
      <w:r>
        <w:rPr>
          <w:rFonts w:hint="eastAsia" w:ascii="黑体" w:eastAsia="黑体"/>
          <w:bCs/>
          <w:sz w:val="44"/>
          <w:szCs w:val="44"/>
        </w:rPr>
        <w:t>权力清单和责任清单</w:t>
      </w:r>
      <w:bookmarkStart w:id="0" w:name="_GoBack"/>
      <w:bookmarkEnd w:id="0"/>
    </w:p>
    <w:tbl>
      <w:tblPr>
        <w:tblStyle w:val="4"/>
        <w:tblW w:w="13944"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780"/>
        <w:gridCol w:w="1164"/>
        <w:gridCol w:w="5231"/>
        <w:gridCol w:w="2880"/>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trPr>
        <w:tc>
          <w:tcPr>
            <w:tcW w:w="564" w:type="dxa"/>
          </w:tcPr>
          <w:p>
            <w:pPr>
              <w:jc w:val="center"/>
            </w:pPr>
            <w:r>
              <w:rPr>
                <w:rFonts w:hint="eastAsia" w:ascii="楷体_GB2312" w:hAnsi="黑体" w:eastAsia="楷体_GB2312"/>
                <w:b/>
                <w:sz w:val="28"/>
              </w:rPr>
              <w:t>序号</w:t>
            </w:r>
          </w:p>
        </w:tc>
        <w:tc>
          <w:tcPr>
            <w:tcW w:w="780" w:type="dxa"/>
          </w:tcPr>
          <w:p>
            <w:pPr>
              <w:jc w:val="center"/>
            </w:pPr>
            <w:r>
              <w:rPr>
                <w:rFonts w:hint="eastAsia" w:ascii="楷体_GB2312" w:hAnsi="黑体" w:eastAsia="楷体_GB2312"/>
                <w:b/>
                <w:sz w:val="28"/>
              </w:rPr>
              <w:t>权力类型</w:t>
            </w:r>
          </w:p>
        </w:tc>
        <w:tc>
          <w:tcPr>
            <w:tcW w:w="1164" w:type="dxa"/>
          </w:tcPr>
          <w:p>
            <w:pPr>
              <w:jc w:val="center"/>
              <w:rPr>
                <w:rFonts w:ascii="楷体_GB2312" w:hAnsi="黑体" w:eastAsia="楷体_GB2312"/>
                <w:b/>
                <w:sz w:val="28"/>
              </w:rPr>
            </w:pPr>
            <w:r>
              <w:rPr>
                <w:rFonts w:hint="eastAsia" w:ascii="楷体_GB2312" w:hAnsi="黑体" w:eastAsia="楷体_GB2312"/>
                <w:b/>
                <w:sz w:val="28"/>
              </w:rPr>
              <w:t>项目</w:t>
            </w:r>
          </w:p>
          <w:p>
            <w:pPr>
              <w:jc w:val="center"/>
            </w:pPr>
            <w:r>
              <w:rPr>
                <w:rFonts w:hint="eastAsia" w:ascii="楷体_GB2312" w:hAnsi="黑体" w:eastAsia="楷体_GB2312"/>
                <w:b/>
                <w:sz w:val="28"/>
              </w:rPr>
              <w:t>名称</w:t>
            </w:r>
          </w:p>
        </w:tc>
        <w:tc>
          <w:tcPr>
            <w:tcW w:w="5231" w:type="dxa"/>
            <w:vAlign w:val="center"/>
          </w:tcPr>
          <w:p>
            <w:pPr>
              <w:ind w:firstLine="281" w:firstLineChars="100"/>
            </w:pPr>
            <w:r>
              <w:rPr>
                <w:rFonts w:hint="eastAsia" w:ascii="楷体_GB2312" w:hAnsi="黑体" w:eastAsia="楷体_GB2312"/>
                <w:b/>
                <w:sz w:val="28"/>
              </w:rPr>
              <w:t>实施依据</w:t>
            </w:r>
          </w:p>
        </w:tc>
        <w:tc>
          <w:tcPr>
            <w:tcW w:w="2880" w:type="dxa"/>
            <w:vAlign w:val="center"/>
          </w:tcPr>
          <w:p>
            <w:pPr>
              <w:jc w:val="center"/>
            </w:pPr>
            <w:r>
              <w:rPr>
                <w:rFonts w:hint="eastAsia" w:ascii="楷体_GB2312" w:hAnsi="黑体" w:eastAsia="楷体_GB2312"/>
                <w:b/>
                <w:sz w:val="28"/>
              </w:rPr>
              <w:t>责任事项</w:t>
            </w:r>
          </w:p>
        </w:tc>
        <w:tc>
          <w:tcPr>
            <w:tcW w:w="3325" w:type="dxa"/>
            <w:vAlign w:val="center"/>
          </w:tcPr>
          <w:p>
            <w:pPr>
              <w:jc w:val="center"/>
            </w:pPr>
            <w:r>
              <w:rPr>
                <w:rFonts w:hint="eastAsia" w:ascii="楷体_GB2312" w:hAnsi="黑体" w:eastAsia="楷体_GB2312"/>
                <w:b/>
                <w:sz w:val="28"/>
              </w:rPr>
              <w:t>追责情形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2" w:hRule="atLeast"/>
        </w:trPr>
        <w:tc>
          <w:tcPr>
            <w:tcW w:w="564" w:type="dxa"/>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780" w:type="dxa"/>
            <w:vAlign w:val="center"/>
          </w:tcPr>
          <w:p>
            <w:pPr>
              <w:jc w:val="center"/>
              <w:rPr>
                <w:rFonts w:ascii="仿宋_GB2312" w:hAnsi="宋体" w:eastAsia="仿宋_GB2312" w:cs="宋体"/>
                <w:kern w:val="0"/>
                <w:sz w:val="24"/>
              </w:rPr>
            </w:pPr>
            <w:r>
              <w:rPr>
                <w:rFonts w:hint="eastAsia" w:ascii="仿宋" w:hAnsi="仿宋" w:eastAsia="仿宋" w:cs="仿宋"/>
                <w:sz w:val="24"/>
              </w:rPr>
              <w:t>其他权力</w:t>
            </w:r>
          </w:p>
        </w:tc>
        <w:tc>
          <w:tcPr>
            <w:tcW w:w="1164" w:type="dxa"/>
            <w:vAlign w:val="center"/>
          </w:tcPr>
          <w:p>
            <w:pPr>
              <w:jc w:val="center"/>
              <w:rPr>
                <w:rFonts w:ascii="仿宋" w:hAnsi="仿宋" w:eastAsia="仿宋" w:cs="仿宋"/>
                <w:sz w:val="24"/>
              </w:rPr>
            </w:pPr>
            <w:r>
              <w:rPr>
                <w:rFonts w:ascii="仿宋" w:hAnsi="仿宋" w:eastAsia="仿宋" w:cs="仿宋"/>
                <w:sz w:val="24"/>
              </w:rPr>
              <w:t>APEC</w:t>
            </w:r>
          </w:p>
          <w:p>
            <w:pPr>
              <w:jc w:val="center"/>
              <w:rPr>
                <w:rFonts w:ascii="仿宋" w:hAnsi="仿宋" w:eastAsia="仿宋" w:cs="仿宋"/>
                <w:sz w:val="24"/>
              </w:rPr>
            </w:pPr>
            <w:r>
              <w:rPr>
                <w:rFonts w:hint="eastAsia" w:ascii="仿宋" w:hAnsi="仿宋" w:eastAsia="仿宋" w:cs="仿宋"/>
                <w:sz w:val="24"/>
              </w:rPr>
              <w:t>商务</w:t>
            </w:r>
          </w:p>
          <w:p>
            <w:pPr>
              <w:jc w:val="center"/>
              <w:rPr>
                <w:rFonts w:ascii="仿宋" w:hAnsi="仿宋" w:eastAsia="仿宋" w:cs="仿宋"/>
                <w:sz w:val="24"/>
              </w:rPr>
            </w:pPr>
            <w:r>
              <w:rPr>
                <w:rFonts w:hint="eastAsia" w:ascii="仿宋" w:hAnsi="仿宋" w:eastAsia="仿宋" w:cs="仿宋"/>
                <w:sz w:val="24"/>
              </w:rPr>
              <w:t>旅行卡</w:t>
            </w:r>
          </w:p>
          <w:p>
            <w:pPr>
              <w:jc w:val="center"/>
              <w:rPr>
                <w:sz w:val="24"/>
              </w:rPr>
            </w:pPr>
            <w:r>
              <w:rPr>
                <w:rFonts w:hint="eastAsia" w:ascii="仿宋" w:hAnsi="仿宋" w:eastAsia="仿宋" w:cs="仿宋"/>
                <w:sz w:val="24"/>
              </w:rPr>
              <w:t>初审</w:t>
            </w:r>
          </w:p>
        </w:tc>
        <w:tc>
          <w:tcPr>
            <w:tcW w:w="5231" w:type="dxa"/>
            <w:vAlign w:val="center"/>
          </w:tcPr>
          <w:p>
            <w:pPr>
              <w:rPr>
                <w:rFonts w:ascii="仿宋" w:hAnsi="仿宋" w:eastAsia="仿宋" w:cs="仿宋"/>
                <w:sz w:val="24"/>
              </w:rPr>
            </w:pPr>
            <w:r>
              <w:rPr>
                <w:rFonts w:hint="eastAsia" w:ascii="仿宋" w:hAnsi="仿宋" w:eastAsia="仿宋" w:cs="仿宋"/>
                <w:sz w:val="24"/>
              </w:rPr>
              <w:t xml:space="preserve">1 .外交部《关于印发〈APEC商务旅行卡申办管理办法〉的通知》（外发〔2018〕6号）第六条：有外事审批权的中央和国家机关、中央企业、地方人民政府外事办公室及外交部特批的大型民管企业（以下简称各单位）负责本单位或者辖区旅行卡申办工作，包括旅行卡推介、申请受理及审核、旅行卡保管及使用过程中的监督检査等。   第十四条申办程序如下：（三）地方国有企业人员由中请人所属企业按照因公出国审批程序，将申请人材料送企业注册地所属外办审核。外办按照规定审核合格后将申请材料报外交部领事司审核，领事司审核合格并获其他经济体批准后为中请人颁卡。（四）非公有制企业人员由申请人所属企业将申请人材料送企业注册地所属外办审核。外办审核合格后将申请材料报外交部领事司审核，领事司审核合格并获其他经济体批准后为申请人颁卡。   </w:t>
            </w:r>
          </w:p>
          <w:p>
            <w:pPr>
              <w:rPr>
                <w:rFonts w:ascii="仿宋" w:hAnsi="仿宋" w:eastAsia="仿宋" w:cs="仿宋"/>
                <w:sz w:val="24"/>
              </w:rPr>
            </w:pPr>
            <w:r>
              <w:rPr>
                <w:rFonts w:hint="eastAsia" w:ascii="仿宋" w:hAnsi="仿宋" w:eastAsia="仿宋" w:cs="仿宋"/>
                <w:sz w:val="24"/>
              </w:rPr>
              <w:t xml:space="preserve">第十五条：非公有制企业人员申请旅行卡需提交下列材料（一）申请人剩余有效期不少于1年的中国护照二）申请人在企业任职证明（如劳动合同、社保记录）（三）本地旅行卡申办企业资质量化标准规定的内容（四）各单位根据本地实际情况要求申请人及所属企业提供 </w:t>
            </w:r>
          </w:p>
          <w:p>
            <w:pPr>
              <w:rPr>
                <w:rFonts w:ascii="仿宋_GB2312" w:hAnsi="宋体" w:eastAsia="仿宋_GB2312" w:cs="宋体"/>
                <w:kern w:val="0"/>
                <w:sz w:val="24"/>
              </w:rPr>
            </w:pPr>
            <w:r>
              <w:rPr>
                <w:rFonts w:hint="eastAsia" w:ascii="仿宋" w:hAnsi="仿宋" w:eastAsia="仿宋" w:cs="仿宋"/>
                <w:sz w:val="24"/>
              </w:rPr>
              <w:t xml:space="preserve">2.《安徽省企业人员申办APEC商务旅行卡管理细则》 四、办理步骤：（二）其他企业通过企业工商注册地的市或试点县外办提出申请，并按要求提供所需申请材料。各市或试点县外办初审同意后向省外办报文申请，并附全部所需申请材料。 </w:t>
            </w:r>
            <w:r>
              <w:rPr>
                <w:rFonts w:ascii="仿宋" w:hAnsi="仿宋" w:eastAsia="仿宋" w:cs="仿宋"/>
                <w:sz w:val="24"/>
              </w:rPr>
              <w:t xml:space="preserve">      </w:t>
            </w:r>
          </w:p>
        </w:tc>
        <w:tc>
          <w:tcPr>
            <w:tcW w:w="2880" w:type="dxa"/>
            <w:vAlign w:val="center"/>
          </w:tcPr>
          <w:p>
            <w:pPr>
              <w:rPr>
                <w:rFonts w:hint="eastAsia" w:ascii="仿宋" w:hAnsi="仿宋" w:eastAsia="仿宋" w:cs="仿宋"/>
                <w:sz w:val="24"/>
              </w:rPr>
            </w:pPr>
            <w:r>
              <w:rPr>
                <w:rFonts w:hint="eastAsia" w:ascii="仿宋" w:hAnsi="仿宋" w:eastAsia="仿宋" w:cs="仿宋"/>
                <w:sz w:val="24"/>
              </w:rPr>
              <w:t>1.受理环节责任：公示APEC商务旅行卡初审依法应当提交的材料；一次性告知补正材料；依法受理或不予受理（不予受理的应当告知理由）。</w:t>
            </w:r>
          </w:p>
          <w:p>
            <w:pPr>
              <w:rPr>
                <w:rFonts w:hint="eastAsia" w:ascii="仿宋" w:hAnsi="仿宋" w:eastAsia="仿宋" w:cs="仿宋"/>
                <w:sz w:val="24"/>
              </w:rPr>
            </w:pPr>
            <w:r>
              <w:rPr>
                <w:rFonts w:hint="eastAsia" w:ascii="仿宋" w:hAnsi="仿宋" w:eastAsia="仿宋" w:cs="仿宋"/>
                <w:sz w:val="24"/>
              </w:rPr>
              <w:t>2.决定环节责任：对申请材料进行审查，并提出审核意见。作出转报决定并制发相关文书（不予转报的应当告知理由）。</w:t>
            </w:r>
          </w:p>
          <w:p>
            <w:pPr>
              <w:rPr>
                <w:rFonts w:hint="eastAsia" w:ascii="仿宋" w:hAnsi="仿宋" w:eastAsia="仿宋" w:cs="仿宋"/>
                <w:sz w:val="24"/>
              </w:rPr>
            </w:pPr>
            <w:r>
              <w:rPr>
                <w:rFonts w:hint="eastAsia" w:ascii="仿宋" w:hAnsi="仿宋" w:eastAsia="仿宋" w:cs="仿宋"/>
                <w:sz w:val="24"/>
              </w:rPr>
              <w:t>3.办结环节责任：将相关文书转报省外办，信息公开。</w:t>
            </w:r>
          </w:p>
          <w:p>
            <w:pPr>
              <w:rPr>
                <w:rFonts w:hint="eastAsia" w:ascii="仿宋" w:hAnsi="仿宋" w:eastAsia="仿宋" w:cs="仿宋"/>
                <w:sz w:val="24"/>
              </w:rPr>
            </w:pPr>
            <w:r>
              <w:rPr>
                <w:rFonts w:hint="eastAsia" w:ascii="仿宋" w:hAnsi="仿宋" w:eastAsia="仿宋" w:cs="仿宋"/>
                <w:sz w:val="24"/>
              </w:rPr>
              <w:t>4.事后责任：接受监督，及时处理省外办反馈信息。</w:t>
            </w:r>
          </w:p>
          <w:p>
            <w:pPr>
              <w:rPr>
                <w:rFonts w:ascii="仿宋_GB2312" w:hAnsi="宋体" w:eastAsia="仿宋_GB2312" w:cs="宋体"/>
                <w:kern w:val="0"/>
                <w:sz w:val="24"/>
              </w:rPr>
            </w:pPr>
            <w:r>
              <w:rPr>
                <w:rFonts w:hint="eastAsia" w:ascii="仿宋" w:hAnsi="仿宋" w:eastAsia="仿宋" w:cs="仿宋"/>
                <w:sz w:val="24"/>
              </w:rPr>
              <w:t>5.其它法律法规规章文件规定应承担的责任。</w:t>
            </w:r>
          </w:p>
        </w:tc>
        <w:tc>
          <w:tcPr>
            <w:tcW w:w="3325" w:type="dxa"/>
            <w:vAlign w:val="center"/>
          </w:tcPr>
          <w:p>
            <w:pPr>
              <w:rPr>
                <w:rFonts w:ascii="仿宋_GB2312" w:hAnsi="宋体" w:eastAsia="仿宋_GB2312" w:cs="宋体"/>
                <w:sz w:val="24"/>
              </w:rPr>
            </w:pPr>
            <w:r>
              <w:rPr>
                <w:rFonts w:hint="eastAsia" w:ascii="仿宋" w:hAnsi="仿宋" w:eastAsia="仿宋" w:cs="仿宋"/>
                <w:sz w:val="24"/>
              </w:rPr>
              <w:t>因不履行或不正确履行行政职责，有下列情形的，行政机关及相关工作人员应承担相应责任：</w:t>
            </w:r>
            <w:r>
              <w:rPr>
                <w:rFonts w:ascii="仿宋" w:hAnsi="仿宋" w:eastAsia="仿宋" w:cs="仿宋"/>
                <w:sz w:val="24"/>
              </w:rPr>
              <w:br w:type="textWrapping"/>
            </w:r>
            <w:r>
              <w:rPr>
                <w:rFonts w:ascii="仿宋" w:hAnsi="仿宋" w:eastAsia="仿宋" w:cs="仿宋"/>
                <w:sz w:val="24"/>
              </w:rPr>
              <w:t>1.</w:t>
            </w:r>
            <w:r>
              <w:rPr>
                <w:rFonts w:hint="eastAsia" w:ascii="仿宋" w:hAnsi="仿宋" w:eastAsia="仿宋" w:cs="仿宋"/>
                <w:sz w:val="24"/>
              </w:rPr>
              <w:t>对符合受理条件的申请不予受理的；</w:t>
            </w:r>
            <w:r>
              <w:rPr>
                <w:rFonts w:ascii="仿宋" w:hAnsi="仿宋" w:eastAsia="仿宋" w:cs="仿宋"/>
                <w:sz w:val="24"/>
              </w:rPr>
              <w:br w:type="textWrapping"/>
            </w:r>
            <w:r>
              <w:rPr>
                <w:rFonts w:ascii="仿宋" w:hAnsi="仿宋" w:eastAsia="仿宋" w:cs="仿宋"/>
                <w:sz w:val="24"/>
              </w:rPr>
              <w:t>2.</w:t>
            </w:r>
            <w:r>
              <w:rPr>
                <w:rFonts w:hint="eastAsia" w:ascii="仿宋" w:hAnsi="仿宋" w:eastAsia="仿宋" w:cs="仿宋"/>
                <w:sz w:val="24"/>
              </w:rPr>
              <w:t>对不符合受理条件的申请而予以受理的；</w:t>
            </w:r>
            <w:r>
              <w:rPr>
                <w:rFonts w:ascii="仿宋" w:hAnsi="仿宋" w:eastAsia="仿宋" w:cs="仿宋"/>
                <w:sz w:val="24"/>
              </w:rPr>
              <w:br w:type="textWrapping"/>
            </w:r>
            <w:r>
              <w:rPr>
                <w:rFonts w:ascii="仿宋" w:hAnsi="仿宋" w:eastAsia="仿宋" w:cs="仿宋"/>
                <w:sz w:val="24"/>
              </w:rPr>
              <w:t>3.</w:t>
            </w:r>
            <w:r>
              <w:rPr>
                <w:rFonts w:hint="eastAsia" w:ascii="仿宋" w:hAnsi="仿宋" w:eastAsia="仿宋" w:cs="仿宋"/>
                <w:sz w:val="24"/>
              </w:rPr>
              <w:t>对明知不符合法律法规的申请而通过审查转报的；</w:t>
            </w:r>
            <w:r>
              <w:rPr>
                <w:rFonts w:ascii="仿宋" w:hAnsi="仿宋" w:eastAsia="仿宋" w:cs="仿宋"/>
                <w:sz w:val="24"/>
              </w:rPr>
              <w:br w:type="textWrapping"/>
            </w:r>
            <w:r>
              <w:rPr>
                <w:rFonts w:ascii="仿宋" w:hAnsi="仿宋" w:eastAsia="仿宋" w:cs="仿宋"/>
                <w:sz w:val="24"/>
              </w:rPr>
              <w:t>4.</w:t>
            </w:r>
            <w:r>
              <w:rPr>
                <w:rFonts w:hint="eastAsia" w:ascii="仿宋" w:hAnsi="仿宋" w:eastAsia="仿宋" w:cs="仿宋"/>
                <w:sz w:val="24"/>
              </w:rPr>
              <w:t>擅自增设变更初审转报程序或条件的；</w:t>
            </w:r>
            <w:r>
              <w:rPr>
                <w:rFonts w:ascii="仿宋" w:hAnsi="仿宋" w:eastAsia="仿宋" w:cs="仿宋"/>
                <w:sz w:val="24"/>
              </w:rPr>
              <w:br w:type="textWrapping"/>
            </w:r>
            <w:r>
              <w:rPr>
                <w:rFonts w:ascii="仿宋" w:hAnsi="仿宋" w:eastAsia="仿宋" w:cs="仿宋"/>
                <w:sz w:val="24"/>
              </w:rPr>
              <w:t>5.</w:t>
            </w:r>
            <w:r>
              <w:rPr>
                <w:rFonts w:hint="eastAsia" w:ascii="仿宋" w:hAnsi="仿宋" w:eastAsia="仿宋" w:cs="仿宋"/>
                <w:sz w:val="24"/>
              </w:rPr>
              <w:t>未严格初审而产生严重后果的；</w:t>
            </w:r>
            <w:r>
              <w:rPr>
                <w:rFonts w:ascii="仿宋" w:hAnsi="仿宋" w:eastAsia="仿宋" w:cs="仿宋"/>
                <w:sz w:val="24"/>
              </w:rPr>
              <w:br w:type="textWrapping"/>
            </w:r>
            <w:r>
              <w:rPr>
                <w:rFonts w:ascii="仿宋" w:hAnsi="仿宋" w:eastAsia="仿宋" w:cs="仿宋"/>
                <w:sz w:val="24"/>
              </w:rPr>
              <w:t>6.</w:t>
            </w:r>
            <w:r>
              <w:rPr>
                <w:rFonts w:hint="eastAsia" w:ascii="仿宋" w:hAnsi="仿宋" w:eastAsia="仿宋" w:cs="仿宋"/>
                <w:sz w:val="24"/>
              </w:rPr>
              <w:t>在初审过程中玩忽职守、滥用职权的；</w:t>
            </w:r>
            <w:r>
              <w:rPr>
                <w:rFonts w:ascii="仿宋" w:hAnsi="仿宋" w:eastAsia="仿宋" w:cs="仿宋"/>
                <w:sz w:val="24"/>
              </w:rPr>
              <w:br w:type="textWrapping"/>
            </w:r>
            <w:r>
              <w:rPr>
                <w:rFonts w:ascii="仿宋" w:hAnsi="仿宋" w:eastAsia="仿宋" w:cs="仿宋"/>
                <w:sz w:val="24"/>
              </w:rPr>
              <w:t>7.</w:t>
            </w:r>
            <w:r>
              <w:rPr>
                <w:rFonts w:hint="eastAsia" w:ascii="仿宋" w:hAnsi="仿宋" w:eastAsia="仿宋" w:cs="仿宋"/>
                <w:sz w:val="24"/>
              </w:rPr>
              <w:t>在初审过程中发生腐败行为的；</w:t>
            </w:r>
            <w:r>
              <w:rPr>
                <w:rFonts w:ascii="仿宋" w:hAnsi="仿宋" w:eastAsia="仿宋" w:cs="仿宋"/>
                <w:sz w:val="24"/>
              </w:rPr>
              <w:br w:type="textWrapping"/>
            </w:r>
            <w:r>
              <w:rPr>
                <w:rFonts w:ascii="仿宋" w:hAnsi="仿宋" w:eastAsia="仿宋" w:cs="仿宋"/>
                <w:sz w:val="24"/>
              </w:rPr>
              <w:t>8.</w:t>
            </w:r>
            <w:r>
              <w:rPr>
                <w:rFonts w:hint="eastAsia" w:ascii="仿宋" w:hAnsi="仿宋" w:eastAsia="仿宋" w:cs="仿宋"/>
                <w:sz w:val="24"/>
              </w:rPr>
              <w:t>其他违反法律法规规章文件规定的行为。</w:t>
            </w:r>
          </w:p>
        </w:tc>
      </w:tr>
    </w:tbl>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361" w:right="1440" w:bottom="136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95607BE"/>
    <w:rsid w:val="0001617C"/>
    <w:rsid w:val="00032FF7"/>
    <w:rsid w:val="0006308E"/>
    <w:rsid w:val="00197A24"/>
    <w:rsid w:val="00200672"/>
    <w:rsid w:val="00203E0F"/>
    <w:rsid w:val="002F0291"/>
    <w:rsid w:val="002F1F05"/>
    <w:rsid w:val="002F48EF"/>
    <w:rsid w:val="00325CD7"/>
    <w:rsid w:val="0039491A"/>
    <w:rsid w:val="003E08A8"/>
    <w:rsid w:val="005F05AD"/>
    <w:rsid w:val="0085518A"/>
    <w:rsid w:val="00897C87"/>
    <w:rsid w:val="008F0F3A"/>
    <w:rsid w:val="00B2440E"/>
    <w:rsid w:val="00E54DF1"/>
    <w:rsid w:val="00E91B62"/>
    <w:rsid w:val="00FB7253"/>
    <w:rsid w:val="195607BE"/>
    <w:rsid w:val="21DB6D5E"/>
    <w:rsid w:val="3D140139"/>
    <w:rsid w:val="5079480D"/>
    <w:rsid w:val="6D535020"/>
    <w:rsid w:val="71007861"/>
    <w:rsid w:val="7ABF5FA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0824-6\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2</Pages>
  <Words>158</Words>
  <Characters>903</Characters>
  <Lines>7</Lines>
  <Paragraphs>2</Paragraphs>
  <TotalTime>3</TotalTime>
  <ScaleCrop>false</ScaleCrop>
  <LinksUpToDate>false</LinksUpToDate>
  <CharactersWithSpaces>1059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2018-09-17T06:09:00Z</dcterms:created>
  <dc:creator>170824-6</dc:creator>
  <cp:lastModifiedBy>Sandra Fan . </cp:lastModifiedBy>
  <dcterms:modified xsi:type="dcterms:W3CDTF">2019-07-30T01:37:30Z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