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宋体"/>
          <w:bCs/>
          <w:sz w:val="44"/>
          <w:szCs w:val="44"/>
        </w:rPr>
      </w:pPr>
      <w:r>
        <w:rPr>
          <w:rFonts w:hint="eastAsia" w:ascii="黑体" w:eastAsia="黑体"/>
          <w:bCs/>
          <w:sz w:val="44"/>
          <w:szCs w:val="44"/>
        </w:rPr>
        <w:t>池州市</w:t>
      </w:r>
      <w:r>
        <w:rPr>
          <w:rFonts w:hint="eastAsia" w:ascii="黑体" w:eastAsia="黑体"/>
          <w:bCs/>
          <w:sz w:val="44"/>
          <w:szCs w:val="44"/>
          <w:lang w:val="en-US" w:eastAsia="zh-CN"/>
        </w:rPr>
        <w:t>政府侨务办</w:t>
      </w:r>
      <w:r>
        <w:rPr>
          <w:rFonts w:hint="eastAsia" w:ascii="黑体" w:eastAsia="黑体"/>
          <w:bCs/>
          <w:sz w:val="44"/>
          <w:szCs w:val="44"/>
        </w:rPr>
        <w:t>权力清单和责任清单</w:t>
      </w:r>
      <w:bookmarkStart w:id="0" w:name="_GoBack"/>
      <w:bookmarkEnd w:id="0"/>
    </w:p>
    <w:tbl>
      <w:tblPr>
        <w:tblStyle w:val="5"/>
        <w:tblW w:w="13944"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780"/>
        <w:gridCol w:w="1164"/>
        <w:gridCol w:w="5231"/>
        <w:gridCol w:w="288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94" w:hRule="atLeast"/>
        </w:trPr>
        <w:tc>
          <w:tcPr>
            <w:tcW w:w="564" w:type="dxa"/>
          </w:tcPr>
          <w:p>
            <w:pPr>
              <w:jc w:val="center"/>
            </w:pPr>
            <w:r>
              <w:rPr>
                <w:rFonts w:hint="eastAsia" w:ascii="楷体_GB2312" w:hAnsi="黑体" w:eastAsia="楷体_GB2312"/>
                <w:b/>
                <w:sz w:val="28"/>
              </w:rPr>
              <w:t>序号</w:t>
            </w:r>
          </w:p>
        </w:tc>
        <w:tc>
          <w:tcPr>
            <w:tcW w:w="780" w:type="dxa"/>
          </w:tcPr>
          <w:p>
            <w:pPr>
              <w:jc w:val="center"/>
            </w:pPr>
            <w:r>
              <w:rPr>
                <w:rFonts w:hint="eastAsia" w:ascii="楷体_GB2312" w:hAnsi="黑体" w:eastAsia="楷体_GB2312"/>
                <w:b/>
                <w:sz w:val="28"/>
              </w:rPr>
              <w:t>权力类型</w:t>
            </w:r>
          </w:p>
        </w:tc>
        <w:tc>
          <w:tcPr>
            <w:tcW w:w="1164" w:type="dxa"/>
          </w:tcPr>
          <w:p>
            <w:pPr>
              <w:jc w:val="center"/>
              <w:rPr>
                <w:rFonts w:ascii="楷体_GB2312" w:hAnsi="黑体" w:eastAsia="楷体_GB2312"/>
                <w:b/>
                <w:sz w:val="28"/>
              </w:rPr>
            </w:pPr>
            <w:r>
              <w:rPr>
                <w:rFonts w:hint="eastAsia" w:ascii="楷体_GB2312" w:hAnsi="黑体" w:eastAsia="楷体_GB2312"/>
                <w:b/>
                <w:sz w:val="28"/>
              </w:rPr>
              <w:t>项目</w:t>
            </w:r>
          </w:p>
          <w:p>
            <w:pPr>
              <w:jc w:val="center"/>
            </w:pPr>
            <w:r>
              <w:rPr>
                <w:rFonts w:hint="eastAsia" w:ascii="楷体_GB2312" w:hAnsi="黑体" w:eastAsia="楷体_GB2312"/>
                <w:b/>
                <w:sz w:val="28"/>
              </w:rPr>
              <w:t>名称</w:t>
            </w:r>
          </w:p>
        </w:tc>
        <w:tc>
          <w:tcPr>
            <w:tcW w:w="5231" w:type="dxa"/>
            <w:vAlign w:val="center"/>
          </w:tcPr>
          <w:p>
            <w:pPr>
              <w:ind w:firstLine="281" w:firstLineChars="100"/>
              <w:jc w:val="center"/>
            </w:pPr>
            <w:r>
              <w:rPr>
                <w:rFonts w:hint="eastAsia" w:ascii="楷体_GB2312" w:hAnsi="黑体" w:eastAsia="楷体_GB2312"/>
                <w:b/>
                <w:sz w:val="28"/>
              </w:rPr>
              <w:t>实施依据</w:t>
            </w:r>
          </w:p>
        </w:tc>
        <w:tc>
          <w:tcPr>
            <w:tcW w:w="2880" w:type="dxa"/>
            <w:vAlign w:val="center"/>
          </w:tcPr>
          <w:p>
            <w:pPr>
              <w:jc w:val="center"/>
            </w:pPr>
            <w:r>
              <w:rPr>
                <w:rFonts w:hint="eastAsia" w:ascii="楷体_GB2312" w:hAnsi="黑体" w:eastAsia="楷体_GB2312"/>
                <w:b/>
                <w:sz w:val="28"/>
              </w:rPr>
              <w:t>责任事项</w:t>
            </w:r>
          </w:p>
        </w:tc>
        <w:tc>
          <w:tcPr>
            <w:tcW w:w="3325" w:type="dxa"/>
            <w:vAlign w:val="center"/>
          </w:tcPr>
          <w:p>
            <w:pPr>
              <w:jc w:val="center"/>
            </w:pPr>
            <w:r>
              <w:rPr>
                <w:rFonts w:hint="eastAsia" w:ascii="楷体_GB2312" w:hAnsi="黑体" w:eastAsia="楷体_GB2312"/>
                <w:b/>
                <w:sz w:val="28"/>
              </w:rPr>
              <w:t>追责情形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3" w:hRule="atLeast"/>
        </w:trPr>
        <w:tc>
          <w:tcPr>
            <w:tcW w:w="564" w:type="dxa"/>
            <w:vAlign w:val="center"/>
          </w:tcPr>
          <w:p>
            <w:pPr>
              <w:jc w:val="center"/>
              <w:rPr>
                <w:sz w:val="24"/>
              </w:rPr>
            </w:pPr>
            <w:r>
              <w:rPr>
                <w:rFonts w:ascii="仿宋_GB2312" w:hAnsi="宋体" w:eastAsia="仿宋_GB2312" w:cs="宋体"/>
                <w:kern w:val="0"/>
                <w:sz w:val="24"/>
              </w:rPr>
              <w:t>1</w:t>
            </w:r>
          </w:p>
        </w:tc>
        <w:tc>
          <w:tcPr>
            <w:tcW w:w="780" w:type="dxa"/>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行政</w:t>
            </w:r>
          </w:p>
          <w:p>
            <w:pPr>
              <w:jc w:val="center"/>
              <w:rPr>
                <w:sz w:val="24"/>
              </w:rPr>
            </w:pPr>
            <w:r>
              <w:rPr>
                <w:rFonts w:hint="eastAsia" w:ascii="仿宋_GB2312" w:hAnsi="宋体" w:eastAsia="仿宋_GB2312" w:cs="宋体"/>
                <w:kern w:val="0"/>
                <w:sz w:val="24"/>
              </w:rPr>
              <w:t>确认</w:t>
            </w:r>
          </w:p>
        </w:tc>
        <w:tc>
          <w:tcPr>
            <w:tcW w:w="1164" w:type="dxa"/>
            <w:vAlign w:val="center"/>
          </w:tcPr>
          <w:p>
            <w:pPr>
              <w:widowControl/>
              <w:spacing w:line="300" w:lineRule="exact"/>
              <w:jc w:val="center"/>
              <w:rPr>
                <w:rFonts w:ascii="仿宋_GB2312" w:eastAsia="仿宋_GB2312"/>
                <w:sz w:val="24"/>
              </w:rPr>
            </w:pPr>
            <w:r>
              <w:rPr>
                <w:rFonts w:hint="eastAsia" w:ascii="仿宋_GB2312" w:hAnsi="宋体" w:eastAsia="仿宋_GB2312" w:cs="宋体"/>
                <w:kern w:val="0"/>
                <w:sz w:val="24"/>
              </w:rPr>
              <w:t>归侨、侨眷身份认定</w:t>
            </w:r>
          </w:p>
        </w:tc>
        <w:tc>
          <w:tcPr>
            <w:tcW w:w="5231" w:type="dxa"/>
            <w:vAlign w:val="center"/>
          </w:tcPr>
          <w:p>
            <w:pPr>
              <w:widowControl/>
              <w:spacing w:line="360" w:lineRule="exact"/>
              <w:rPr>
                <w:rFonts w:hint="eastAsia" w:ascii="仿宋_GB2312" w:hAnsi="宋体" w:eastAsia="仿宋_GB2312" w:cs="宋体"/>
                <w:kern w:val="0"/>
                <w:sz w:val="24"/>
              </w:rPr>
            </w:pPr>
            <w:r>
              <w:rPr>
                <w:rFonts w:hint="eastAsia" w:ascii="仿宋_GB2312" w:hAnsi="宋体" w:eastAsia="仿宋_GB2312" w:cs="宋体"/>
                <w:kern w:val="0"/>
                <w:sz w:val="24"/>
              </w:rPr>
              <w:t>1.《中华人民共和国归侨侨眷权益保护法实施办法》（国务院410号令）第二条：归侨、侨眷的身份，由其常住户口所在地的县级以上地方人民政府负责侨务工作的机构根据本人申请审核认定。</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2.《安徽省实施〈中华人民共和国归侨侨眷权益保护法〉办法》（1994年8月30日安徽省第八届人民代表大会常务委员会第十二次会议通过，2002年5月24日安徽省第九届人民代表大会常务委员会第三十次会议修改）第三条：归侨、侨眷身份由县以上（含县）人民政府侨务办公室依照国家法律、法规的有关规定确认。同华侨、归侨有连续５年以上抚养关系的其他亲属，其侨眷身份经县以上公证机关出具抚养公证后审核确认。</w:t>
            </w:r>
          </w:p>
        </w:tc>
        <w:tc>
          <w:tcPr>
            <w:tcW w:w="2880" w:type="dxa"/>
            <w:vAlign w:val="center"/>
          </w:tcPr>
          <w:p>
            <w:pPr>
              <w:widowControl/>
              <w:spacing w:line="360" w:lineRule="exact"/>
              <w:rPr>
                <w:rFonts w:ascii="仿宋_GB2312" w:hAnsi="宋体" w:eastAsia="仿宋_GB2312" w:cs="宋体"/>
                <w:kern w:val="0"/>
                <w:sz w:val="24"/>
              </w:rPr>
            </w:pPr>
            <w:r>
              <w:rPr>
                <w:rFonts w:ascii="仿宋_GB2312" w:hAnsi="宋体" w:eastAsia="仿宋_GB2312" w:cs="宋体"/>
                <w:kern w:val="0"/>
                <w:sz w:val="24"/>
              </w:rPr>
              <w:t>1.</w:t>
            </w:r>
            <w:r>
              <w:rPr>
                <w:rFonts w:hint="eastAsia" w:ascii="仿宋_GB2312" w:hAnsi="宋体" w:eastAsia="仿宋_GB2312" w:cs="宋体"/>
                <w:kern w:val="0"/>
                <w:sz w:val="24"/>
              </w:rPr>
              <w:t>受理环节责任：公示应当依法提交的材料；一次性告知补正材料；依法受理或不予受理（不予受理的应当告知理由）。</w:t>
            </w:r>
            <w:r>
              <w:rPr>
                <w:rFonts w:ascii="仿宋_GB2312" w:hAnsi="宋体" w:eastAsia="仿宋_GB2312" w:cs="宋体"/>
                <w:kern w:val="0"/>
                <w:sz w:val="24"/>
              </w:rPr>
              <w:br w:type="textWrapping"/>
            </w:r>
            <w:r>
              <w:rPr>
                <w:rFonts w:ascii="仿宋_GB2312" w:hAnsi="宋体" w:eastAsia="仿宋_GB2312" w:cs="宋体"/>
                <w:kern w:val="0"/>
                <w:sz w:val="24"/>
              </w:rPr>
              <w:t>2.</w:t>
            </w:r>
            <w:r>
              <w:rPr>
                <w:rFonts w:hint="eastAsia" w:ascii="仿宋_GB2312" w:hAnsi="宋体" w:eastAsia="仿宋_GB2312" w:cs="宋体"/>
                <w:kern w:val="0"/>
                <w:sz w:val="24"/>
              </w:rPr>
              <w:t>审查环节责任：对初审材料进行审查，提出审查意见。</w:t>
            </w:r>
          </w:p>
          <w:p>
            <w:pPr>
              <w:widowControl/>
              <w:spacing w:line="360" w:lineRule="exac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决定环节责任：作出转报决定（不予转报的应当告知理由）；按时办结；法定告知。</w:t>
            </w:r>
          </w:p>
          <w:p>
            <w:pPr>
              <w:widowControl/>
              <w:spacing w:line="360" w:lineRule="exact"/>
              <w:rPr>
                <w:rFonts w:ascii="仿宋_GB2312" w:hAnsi="宋体" w:eastAsia="仿宋_GB2312" w:cs="宋体"/>
                <w:kern w:val="0"/>
                <w:sz w:val="24"/>
              </w:rPr>
            </w:pPr>
            <w:r>
              <w:rPr>
                <w:rFonts w:ascii="仿宋_GB2312" w:hAnsi="宋体" w:eastAsia="仿宋_GB2312" w:cs="宋体"/>
                <w:kern w:val="0"/>
                <w:sz w:val="24"/>
              </w:rPr>
              <w:t>4</w:t>
            </w:r>
            <w:r>
              <w:rPr>
                <w:rFonts w:hint="eastAsia" w:ascii="仿宋_GB2312" w:hAnsi="宋体" w:eastAsia="仿宋_GB2312" w:cs="宋体"/>
                <w:kern w:val="0"/>
                <w:sz w:val="24"/>
              </w:rPr>
              <w:t>送达环节责任：制发相关文书并转报；信息公开。</w:t>
            </w:r>
          </w:p>
          <w:p>
            <w:pPr>
              <w:spacing w:line="360" w:lineRule="exact"/>
              <w:rPr>
                <w:rFonts w:ascii="仿宋_GB2312" w:hAnsi="宋体" w:eastAsia="仿宋_GB2312" w:cs="宋体"/>
                <w:kern w:val="0"/>
                <w:sz w:val="24"/>
              </w:rPr>
            </w:pPr>
            <w:r>
              <w:rPr>
                <w:rFonts w:ascii="仿宋_GB2312" w:hAnsi="宋体" w:eastAsia="仿宋_GB2312" w:cs="宋体"/>
                <w:kern w:val="0"/>
                <w:sz w:val="24"/>
              </w:rPr>
              <w:t>5.</w:t>
            </w:r>
            <w:r>
              <w:rPr>
                <w:rFonts w:hint="eastAsia" w:ascii="仿宋_GB2312" w:hAnsi="宋体" w:eastAsia="仿宋_GB2312" w:cs="宋体"/>
                <w:kern w:val="0"/>
                <w:sz w:val="24"/>
              </w:rPr>
              <w:t>事后监管责任：加强监管、防止弄虚作假。</w:t>
            </w:r>
            <w:r>
              <w:rPr>
                <w:rFonts w:ascii="仿宋_GB2312" w:hAnsi="宋体" w:eastAsia="仿宋_GB2312" w:cs="宋体"/>
                <w:kern w:val="0"/>
                <w:sz w:val="24"/>
              </w:rPr>
              <w:br w:type="textWrapping"/>
            </w:r>
            <w:r>
              <w:rPr>
                <w:rFonts w:ascii="仿宋_GB2312" w:hAnsi="宋体" w:eastAsia="仿宋_GB2312" w:cs="宋体"/>
                <w:kern w:val="0"/>
                <w:sz w:val="24"/>
              </w:rPr>
              <w:t>6.</w:t>
            </w:r>
            <w:r>
              <w:rPr>
                <w:rFonts w:hint="eastAsia" w:ascii="仿宋_GB2312" w:hAnsi="宋体" w:eastAsia="仿宋_GB2312" w:cs="宋体"/>
                <w:kern w:val="0"/>
                <w:sz w:val="24"/>
              </w:rPr>
              <w:t>其它法律法规规章文件规定应履行的责任。</w:t>
            </w:r>
          </w:p>
        </w:tc>
        <w:tc>
          <w:tcPr>
            <w:tcW w:w="3325" w:type="dxa"/>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因不履行或不正确履行行政职责，有下列情形的，行政机关及相关工作人员应承担相应责任：</w:t>
            </w:r>
            <w:r>
              <w:rPr>
                <w:rFonts w:ascii="仿宋_GB2312" w:hAnsi="宋体" w:eastAsia="仿宋_GB2312" w:cs="宋体"/>
                <w:kern w:val="0"/>
                <w:sz w:val="24"/>
              </w:rPr>
              <w:br w:type="textWrapping"/>
            </w:r>
            <w:r>
              <w:rPr>
                <w:rFonts w:ascii="仿宋_GB2312" w:hAnsi="宋体" w:eastAsia="仿宋_GB2312" w:cs="宋体"/>
                <w:kern w:val="0"/>
                <w:sz w:val="24"/>
              </w:rPr>
              <w:t>1</w:t>
            </w:r>
            <w:r>
              <w:rPr>
                <w:rFonts w:hint="eastAsia" w:ascii="仿宋_GB2312" w:hAnsi="宋体" w:eastAsia="仿宋_GB2312" w:cs="宋体"/>
                <w:kern w:val="0"/>
                <w:sz w:val="24"/>
              </w:rPr>
              <w:t>．对符合受理条件的申请不予受理的；</w:t>
            </w:r>
            <w:r>
              <w:rPr>
                <w:rFonts w:ascii="仿宋_GB2312" w:hAnsi="宋体" w:eastAsia="仿宋_GB2312" w:cs="宋体"/>
                <w:kern w:val="0"/>
                <w:sz w:val="24"/>
              </w:rPr>
              <w:br w:type="textWrapping"/>
            </w:r>
            <w:r>
              <w:rPr>
                <w:rFonts w:ascii="仿宋_GB2312" w:hAnsi="宋体" w:eastAsia="仿宋_GB2312" w:cs="宋体"/>
                <w:kern w:val="0"/>
                <w:sz w:val="24"/>
              </w:rPr>
              <w:t>2</w:t>
            </w:r>
            <w:r>
              <w:rPr>
                <w:rFonts w:hint="eastAsia" w:ascii="仿宋_GB2312" w:hAnsi="宋体" w:eastAsia="仿宋_GB2312" w:cs="宋体"/>
                <w:kern w:val="0"/>
                <w:sz w:val="24"/>
              </w:rPr>
              <w:t>．未严格按照相关政策、法律、法规履行审查义务，对应当予以确认的不予确认，或者对不应确认的予以确认；</w:t>
            </w:r>
          </w:p>
          <w:p>
            <w:pPr>
              <w:numPr>
                <w:ilvl w:val="0"/>
                <w:numId w:val="1"/>
              </w:numPr>
              <w:spacing w:line="300" w:lineRule="exact"/>
              <w:rPr>
                <w:rFonts w:ascii="仿宋_GB2312" w:hAnsi="宋体" w:eastAsia="仿宋_GB2312" w:cs="宋体"/>
                <w:kern w:val="0"/>
                <w:sz w:val="24"/>
              </w:rPr>
            </w:pPr>
            <w:r>
              <w:rPr>
                <w:rFonts w:hint="eastAsia" w:ascii="仿宋_GB2312" w:hAnsi="宋体" w:eastAsia="仿宋_GB2312" w:cs="宋体"/>
                <w:kern w:val="0"/>
                <w:sz w:val="24"/>
              </w:rPr>
              <w:t>未按规定期限办理确认；</w:t>
            </w:r>
            <w:r>
              <w:rPr>
                <w:rFonts w:ascii="仿宋_GB2312" w:hAnsi="宋体" w:eastAsia="仿宋_GB2312" w:cs="宋体"/>
                <w:kern w:val="0"/>
                <w:sz w:val="24"/>
              </w:rPr>
              <w:br w:type="textWrapping"/>
            </w:r>
            <w:r>
              <w:rPr>
                <w:rFonts w:ascii="仿宋_GB2312" w:hAnsi="宋体" w:eastAsia="仿宋_GB2312" w:cs="宋体"/>
                <w:kern w:val="0"/>
                <w:sz w:val="24"/>
              </w:rPr>
              <w:t>4</w:t>
            </w:r>
            <w:r>
              <w:rPr>
                <w:rFonts w:hint="eastAsia" w:ascii="仿宋_GB2312" w:hAnsi="宋体" w:eastAsia="仿宋_GB2312" w:cs="宋体"/>
                <w:kern w:val="0"/>
                <w:sz w:val="24"/>
              </w:rPr>
              <w:t>．对因确认不当引起不良社会影响或损害申请人利益的；</w:t>
            </w:r>
          </w:p>
          <w:p>
            <w:pPr>
              <w:spacing w:line="300" w:lineRule="exact"/>
              <w:rPr>
                <w:rFonts w:ascii="仿宋_GB2312" w:hAnsi="宋体" w:eastAsia="仿宋_GB2312" w:cs="宋体"/>
                <w:kern w:val="0"/>
                <w:sz w:val="24"/>
              </w:rPr>
            </w:pPr>
            <w:r>
              <w:rPr>
                <w:rFonts w:ascii="仿宋_GB2312" w:hAnsi="宋体" w:eastAsia="仿宋_GB2312" w:cs="宋体"/>
                <w:kern w:val="0"/>
                <w:sz w:val="24"/>
              </w:rPr>
              <w:t>5.</w:t>
            </w:r>
            <w:r>
              <w:rPr>
                <w:rFonts w:hint="eastAsia" w:ascii="仿宋_GB2312" w:hAnsi="宋体" w:eastAsia="仿宋_GB2312" w:cs="宋体"/>
                <w:kern w:val="0"/>
                <w:sz w:val="24"/>
              </w:rPr>
              <w:t>在确认过程中发生腐败行为的；</w:t>
            </w:r>
            <w:r>
              <w:rPr>
                <w:rFonts w:ascii="仿宋_GB2312" w:hAnsi="宋体" w:eastAsia="仿宋_GB2312" w:cs="宋体"/>
                <w:kern w:val="0"/>
                <w:sz w:val="24"/>
              </w:rPr>
              <w:br w:type="textWrapping"/>
            </w:r>
            <w:r>
              <w:rPr>
                <w:rFonts w:ascii="仿宋_GB2312" w:hAnsi="宋体" w:eastAsia="仿宋_GB2312" w:cs="宋体"/>
                <w:kern w:val="0"/>
                <w:sz w:val="24"/>
              </w:rPr>
              <w:t>6</w:t>
            </w:r>
            <w:r>
              <w:rPr>
                <w:rFonts w:hint="eastAsia" w:ascii="仿宋_GB2312" w:hAnsi="宋体" w:eastAsia="仿宋_GB2312" w:cs="宋体"/>
                <w:kern w:val="0"/>
                <w:sz w:val="24"/>
              </w:rPr>
              <w:t>．在确认过程中工作人员玩忽职守、滥用职权、徇私舞弊的；</w:t>
            </w:r>
          </w:p>
          <w:p>
            <w:pPr>
              <w:rPr>
                <w:rFonts w:ascii="仿宋_GB2312" w:hAnsi="宋体" w:eastAsia="仿宋_GB2312" w:cs="宋体"/>
                <w:kern w:val="0"/>
                <w:sz w:val="24"/>
              </w:rPr>
            </w:pPr>
            <w:r>
              <w:rPr>
                <w:rFonts w:ascii="仿宋_GB2312" w:hAnsi="宋体" w:eastAsia="仿宋_GB2312" w:cs="宋体"/>
                <w:kern w:val="0"/>
                <w:sz w:val="24"/>
              </w:rPr>
              <w:t>7</w:t>
            </w:r>
            <w:r>
              <w:rPr>
                <w:rFonts w:hint="eastAsia" w:ascii="仿宋_GB2312" w:hAnsi="宋体" w:eastAsia="仿宋_GB2312" w:cs="宋体"/>
                <w:kern w:val="0"/>
                <w:sz w:val="24"/>
              </w:rPr>
              <w:t>．其他违反法律法规规章文件规定的行为。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6" w:hRule="atLeast"/>
        </w:trPr>
        <w:tc>
          <w:tcPr>
            <w:tcW w:w="564" w:type="dxa"/>
            <w:vAlign w:val="center"/>
          </w:tcPr>
          <w:p>
            <w:pPr>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c>
          <w:tcPr>
            <w:tcW w:w="780" w:type="dxa"/>
            <w:vAlign w:val="center"/>
          </w:tcPr>
          <w:p>
            <w:pPr>
              <w:rPr>
                <w:rFonts w:ascii="仿宋_GB2312" w:hAnsi="宋体" w:eastAsia="仿宋_GB2312" w:cs="宋体"/>
                <w:kern w:val="0"/>
                <w:sz w:val="24"/>
              </w:rPr>
            </w:pPr>
            <w:r>
              <w:rPr>
                <w:rFonts w:hint="eastAsia" w:ascii="仿宋_GB2312" w:hAnsi="宋体" w:eastAsia="仿宋_GB2312" w:cs="宋体"/>
                <w:kern w:val="0"/>
                <w:sz w:val="24"/>
              </w:rPr>
              <w:t>其他权力</w:t>
            </w:r>
          </w:p>
        </w:tc>
        <w:tc>
          <w:tcPr>
            <w:tcW w:w="1164" w:type="dxa"/>
            <w:vAlign w:val="center"/>
          </w:tcPr>
          <w:p>
            <w:pPr>
              <w:jc w:val="center"/>
              <w:rPr>
                <w:rFonts w:eastAsia="仿宋"/>
                <w:sz w:val="24"/>
              </w:rPr>
            </w:pPr>
            <w:r>
              <w:rPr>
                <w:rFonts w:hint="eastAsia" w:ascii="仿宋" w:hAnsi="仿宋" w:eastAsia="仿宋" w:cs="宋体"/>
                <w:color w:val="000000"/>
                <w:kern w:val="0"/>
                <w:sz w:val="24"/>
              </w:rPr>
              <w:t>华侨回国定居初审转报</w:t>
            </w:r>
          </w:p>
        </w:tc>
        <w:tc>
          <w:tcPr>
            <w:tcW w:w="5231" w:type="dxa"/>
            <w:vAlign w:val="center"/>
          </w:tcPr>
          <w:p>
            <w:pPr>
              <w:spacing w:line="320" w:lineRule="exact"/>
              <w:rPr>
                <w:rFonts w:hint="eastAsia" w:ascii="仿宋_GB2312" w:eastAsia="仿宋_GB2312"/>
                <w:sz w:val="24"/>
              </w:rPr>
            </w:pPr>
            <w:r>
              <w:rPr>
                <w:rFonts w:hint="eastAsia" w:ascii="仿宋_GB2312" w:eastAsia="仿宋_GB2312"/>
                <w:sz w:val="24"/>
              </w:rPr>
              <w:t>1.《华侨回国定居办理工作规定》（国侨发〔2013〕18号）第六条：市级或者县级人民政府侨务部门受理华侨回国定居申请后，应当对申请人所提交的申请材料进行调查核实，并于受理申请五个工作日内书面征求同级公安机关的意见。</w:t>
            </w:r>
          </w:p>
          <w:p>
            <w:pPr>
              <w:spacing w:line="320" w:lineRule="exact"/>
              <w:rPr>
                <w:rFonts w:hint="eastAsia" w:ascii="仿宋_GB2312" w:eastAsia="仿宋_GB2312"/>
                <w:sz w:val="24"/>
              </w:rPr>
            </w:pPr>
            <w:r>
              <w:rPr>
                <w:rFonts w:hint="eastAsia" w:ascii="仿宋_GB2312" w:eastAsia="仿宋_GB2312"/>
                <w:sz w:val="24"/>
              </w:rPr>
              <w:t>第七条：市级人民政府侨务部门收到县级人民政府侨务部门报送的申请材料后，应当对申请材料进行复核，于五个工作日内提出复核意见报省级人民政府侨务部门审批。</w:t>
            </w:r>
          </w:p>
          <w:p>
            <w:pPr>
              <w:spacing w:line="320" w:lineRule="exact"/>
              <w:rPr>
                <w:rFonts w:ascii="仿宋_GB2312" w:eastAsia="仿宋_GB2312"/>
                <w:sz w:val="24"/>
              </w:rPr>
            </w:pPr>
            <w:r>
              <w:rPr>
                <w:rFonts w:hint="eastAsia" w:ascii="仿宋_GB2312" w:eastAsia="仿宋_GB2312"/>
                <w:sz w:val="24"/>
              </w:rPr>
              <w:t>2.《安徽省实施《华侨回国定居办理工作规定》办法（试行）》（侨政〔2013〕52号）第十三条：市级人民政府侨务部门在收到县级人民政府侨务部门报送的申请材料后，应当对申请材料进行复核，于5个工作日内提出复核意见报省人民政府侨务办公室审批”；第十四条：“市级人民政府侨务部门直接受理华侨回国定居申请的，在收到申请后，应对申请人的身份及提交的材料进行调查核实，于受理申请5个工作日内书面征求市级公安机关的意见，必要时可同时请市级公安机关协助核查申请人出入境记录信息、出入境证件签发信息等情况。</w:t>
            </w:r>
          </w:p>
        </w:tc>
        <w:tc>
          <w:tcPr>
            <w:tcW w:w="2880" w:type="dxa"/>
            <w:vAlign w:val="center"/>
          </w:tcPr>
          <w:p>
            <w:pPr>
              <w:spacing w:line="320" w:lineRule="exact"/>
              <w:rPr>
                <w:rFonts w:ascii="仿宋_GB2312" w:eastAsia="仿宋_GB2312"/>
                <w:sz w:val="24"/>
              </w:rPr>
            </w:pPr>
            <w:r>
              <w:rPr>
                <w:rFonts w:ascii="仿宋_GB2312" w:eastAsia="仿宋_GB2312"/>
                <w:sz w:val="24"/>
              </w:rPr>
              <w:t>1.</w:t>
            </w:r>
            <w:r>
              <w:rPr>
                <w:rFonts w:hint="eastAsia" w:ascii="仿宋_GB2312" w:eastAsia="仿宋_GB2312"/>
                <w:sz w:val="24"/>
              </w:rPr>
              <w:t>受理：华侨回国定居由拟定居地的县（市）侨务部门受理；</w:t>
            </w:r>
          </w:p>
          <w:p>
            <w:pPr>
              <w:spacing w:line="320" w:lineRule="exact"/>
              <w:rPr>
                <w:rFonts w:ascii="仿宋_GB2312" w:eastAsia="仿宋_GB2312"/>
                <w:sz w:val="24"/>
              </w:rPr>
            </w:pPr>
            <w:r>
              <w:rPr>
                <w:rFonts w:ascii="仿宋_GB2312" w:eastAsia="仿宋_GB2312"/>
                <w:sz w:val="24"/>
              </w:rPr>
              <w:t>2.</w:t>
            </w:r>
            <w:r>
              <w:rPr>
                <w:rFonts w:hint="eastAsia" w:ascii="仿宋_GB2312" w:eastAsia="仿宋_GB2312"/>
                <w:sz w:val="24"/>
              </w:rPr>
              <w:t>报批程序：县（市）侨务部门受理定居申请，经商同级公安机关同意后，报所属市侨办复核；复核后由市侨办上报省侨办审批；</w:t>
            </w:r>
          </w:p>
          <w:p>
            <w:pPr>
              <w:spacing w:line="320" w:lineRule="exact"/>
              <w:rPr>
                <w:rFonts w:ascii="仿宋_GB2312" w:eastAsia="仿宋_GB2312"/>
                <w:sz w:val="24"/>
              </w:rPr>
            </w:pPr>
            <w:r>
              <w:rPr>
                <w:rFonts w:ascii="仿宋_GB2312" w:eastAsia="仿宋_GB2312"/>
                <w:sz w:val="24"/>
              </w:rPr>
              <w:t>3.</w:t>
            </w:r>
            <w:r>
              <w:rPr>
                <w:rFonts w:hint="eastAsia" w:ascii="仿宋_GB2312" w:eastAsia="仿宋_GB2312"/>
                <w:sz w:val="24"/>
              </w:rPr>
              <w:t>批复：对批准定居的华侨，由省侨办签发《华侨回国定居证》。《华侨回国定居证》由省侨办逐级转受理地的侨办交申请者本人。本人凭证办理入户等有关手续。</w:t>
            </w:r>
          </w:p>
        </w:tc>
        <w:tc>
          <w:tcPr>
            <w:tcW w:w="3325" w:type="dxa"/>
            <w:vAlign w:val="center"/>
          </w:tcPr>
          <w:p>
            <w:pPr>
              <w:spacing w:line="300" w:lineRule="exact"/>
              <w:rPr>
                <w:rFonts w:ascii="仿宋" w:hAnsi="仿宋" w:eastAsia="仿宋" w:cs="宋体"/>
                <w:kern w:val="0"/>
                <w:sz w:val="24"/>
              </w:rPr>
            </w:pPr>
            <w:r>
              <w:rPr>
                <w:rFonts w:hint="eastAsia" w:ascii="仿宋" w:hAnsi="仿宋" w:eastAsia="仿宋" w:cs="宋体"/>
                <w:kern w:val="0"/>
                <w:sz w:val="24"/>
              </w:rPr>
              <w:t>因不履行或不正确履行行政职责，有下列情形的，行政机关及相关工作人员应承担相应责任：</w:t>
            </w:r>
            <w:r>
              <w:rPr>
                <w:rFonts w:ascii="仿宋" w:hAnsi="仿宋" w:eastAsia="仿宋" w:cs="宋体"/>
                <w:kern w:val="0"/>
                <w:sz w:val="24"/>
              </w:rPr>
              <w:br w:type="textWrapping"/>
            </w:r>
            <w:r>
              <w:rPr>
                <w:rFonts w:ascii="仿宋" w:hAnsi="仿宋" w:eastAsia="仿宋" w:cs="宋体"/>
                <w:kern w:val="0"/>
                <w:sz w:val="24"/>
              </w:rPr>
              <w:t>1</w:t>
            </w:r>
            <w:r>
              <w:rPr>
                <w:rFonts w:ascii="仿宋" w:hAnsi="仿宋" w:eastAsia="仿宋" w:cs="宋体"/>
                <w:sz w:val="24"/>
              </w:rPr>
              <w:t>.</w:t>
            </w:r>
            <w:r>
              <w:rPr>
                <w:rFonts w:hint="eastAsia" w:ascii="仿宋" w:hAnsi="仿宋" w:eastAsia="仿宋" w:cs="宋体"/>
                <w:kern w:val="0"/>
                <w:sz w:val="24"/>
              </w:rPr>
              <w:t>对符合受理条件的申请不予受理的；</w:t>
            </w:r>
            <w:r>
              <w:rPr>
                <w:rFonts w:ascii="仿宋" w:hAnsi="仿宋" w:eastAsia="仿宋" w:cs="宋体"/>
                <w:kern w:val="0"/>
                <w:sz w:val="24"/>
              </w:rPr>
              <w:br w:type="textWrapping"/>
            </w:r>
            <w:r>
              <w:rPr>
                <w:rFonts w:ascii="仿宋" w:hAnsi="仿宋" w:eastAsia="仿宋" w:cs="宋体"/>
                <w:kern w:val="0"/>
                <w:sz w:val="24"/>
              </w:rPr>
              <w:t>2</w:t>
            </w:r>
            <w:r>
              <w:rPr>
                <w:rFonts w:ascii="仿宋" w:hAnsi="仿宋" w:eastAsia="仿宋" w:cs="宋体"/>
                <w:sz w:val="24"/>
              </w:rPr>
              <w:t>.</w:t>
            </w:r>
            <w:r>
              <w:rPr>
                <w:rFonts w:hint="eastAsia" w:ascii="仿宋" w:hAnsi="仿宋" w:eastAsia="仿宋" w:cs="宋体"/>
                <w:kern w:val="0"/>
                <w:sz w:val="24"/>
              </w:rPr>
              <w:t>未严格按照相关政策、法律、法规履行审查义务，对应当予以确认的不予确认，或者对不应确认的予以确认；</w:t>
            </w:r>
          </w:p>
          <w:p>
            <w:pPr>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未按规定期限办理确认；</w:t>
            </w:r>
            <w:r>
              <w:rPr>
                <w:rFonts w:ascii="仿宋" w:hAnsi="仿宋" w:eastAsia="仿宋" w:cs="宋体"/>
                <w:kern w:val="0"/>
                <w:sz w:val="24"/>
              </w:rPr>
              <w:br w:type="textWrapping"/>
            </w:r>
            <w:r>
              <w:rPr>
                <w:rFonts w:ascii="仿宋" w:hAnsi="仿宋" w:eastAsia="仿宋" w:cs="宋体"/>
                <w:kern w:val="0"/>
                <w:sz w:val="24"/>
              </w:rPr>
              <w:t>4</w:t>
            </w:r>
            <w:r>
              <w:rPr>
                <w:rFonts w:ascii="仿宋" w:hAnsi="仿宋" w:eastAsia="仿宋" w:cs="宋体"/>
                <w:sz w:val="24"/>
              </w:rPr>
              <w:t>.</w:t>
            </w:r>
            <w:r>
              <w:rPr>
                <w:rFonts w:hint="eastAsia" w:ascii="仿宋" w:hAnsi="仿宋" w:eastAsia="仿宋" w:cs="宋体"/>
                <w:kern w:val="0"/>
                <w:sz w:val="24"/>
              </w:rPr>
              <w:t>对因确认不当引起不良社会影响或损害申请人利益的；</w:t>
            </w:r>
          </w:p>
          <w:p>
            <w:pPr>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在确认过程中发生腐败行为的；</w:t>
            </w:r>
            <w:r>
              <w:rPr>
                <w:rFonts w:ascii="仿宋" w:hAnsi="仿宋" w:eastAsia="仿宋" w:cs="宋体"/>
                <w:kern w:val="0"/>
                <w:sz w:val="24"/>
              </w:rPr>
              <w:br w:type="textWrapping"/>
            </w:r>
            <w:r>
              <w:rPr>
                <w:rFonts w:ascii="仿宋" w:hAnsi="仿宋" w:eastAsia="仿宋" w:cs="宋体"/>
                <w:kern w:val="0"/>
                <w:sz w:val="24"/>
              </w:rPr>
              <w:t>6</w:t>
            </w:r>
            <w:r>
              <w:rPr>
                <w:rFonts w:ascii="仿宋" w:hAnsi="仿宋" w:eastAsia="仿宋" w:cs="宋体"/>
                <w:sz w:val="24"/>
              </w:rPr>
              <w:t>.</w:t>
            </w:r>
            <w:r>
              <w:rPr>
                <w:rFonts w:hint="eastAsia" w:ascii="仿宋" w:hAnsi="仿宋" w:eastAsia="仿宋" w:cs="宋体"/>
                <w:kern w:val="0"/>
                <w:sz w:val="24"/>
              </w:rPr>
              <w:t>在确认过程中工作人员玩忽职守、滥用职权、徇私舞弊的；</w:t>
            </w:r>
          </w:p>
          <w:p>
            <w:pPr>
              <w:spacing w:line="300" w:lineRule="exact"/>
              <w:rPr>
                <w:rFonts w:ascii="仿宋_GB2312" w:hAnsi="宋体" w:eastAsia="仿宋_GB2312" w:cs="宋体"/>
                <w:sz w:val="24"/>
              </w:rPr>
            </w:pPr>
            <w:r>
              <w:rPr>
                <w:rFonts w:ascii="仿宋" w:hAnsi="仿宋" w:eastAsia="仿宋" w:cs="宋体"/>
                <w:sz w:val="24"/>
              </w:rPr>
              <w:t>7.</w:t>
            </w:r>
            <w:r>
              <w:rPr>
                <w:rFonts w:hint="eastAsia" w:ascii="仿宋" w:hAnsi="仿宋" w:eastAsia="仿宋" w:cs="宋体"/>
                <w:kern w:val="0"/>
                <w:sz w:val="24"/>
              </w:rPr>
              <w:t>其他违反法律法规规章文件规定的行为。</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361"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E44"/>
    <w:multiLevelType w:val="singleLevel"/>
    <w:tmpl w:val="54AA3E44"/>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95607BE"/>
    <w:rsid w:val="0001617C"/>
    <w:rsid w:val="00197A24"/>
    <w:rsid w:val="00200672"/>
    <w:rsid w:val="00203E0F"/>
    <w:rsid w:val="002F0291"/>
    <w:rsid w:val="002F1F05"/>
    <w:rsid w:val="002F48EF"/>
    <w:rsid w:val="00325CD7"/>
    <w:rsid w:val="0039491A"/>
    <w:rsid w:val="005F05AD"/>
    <w:rsid w:val="0085518A"/>
    <w:rsid w:val="00897C87"/>
    <w:rsid w:val="008F0F3A"/>
    <w:rsid w:val="00B2440E"/>
    <w:rsid w:val="00E54DF1"/>
    <w:rsid w:val="00E91B62"/>
    <w:rsid w:val="00FB7253"/>
    <w:rsid w:val="0CB7494E"/>
    <w:rsid w:val="195607BE"/>
    <w:rsid w:val="21DB6D5E"/>
    <w:rsid w:val="3A054E90"/>
    <w:rsid w:val="5079480D"/>
    <w:rsid w:val="6D535020"/>
    <w:rsid w:val="71007861"/>
    <w:rsid w:val="7ABF5F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Header Char"/>
    <w:basedOn w:val="4"/>
    <w:link w:val="3"/>
    <w:semiHidden/>
    <w:qFormat/>
    <w:locked/>
    <w:uiPriority w:val="99"/>
    <w:rPr>
      <w:rFonts w:cs="Times New Roman"/>
      <w:sz w:val="18"/>
      <w:szCs w:val="18"/>
    </w:rPr>
  </w:style>
  <w:style w:type="character" w:customStyle="1" w:styleId="8">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824-6\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365</Words>
  <Characters>2087</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2018-09-17T06:09:00Z</dcterms:created>
  <dc:creator>170824-6</dc:creator>
  <cp:lastModifiedBy>Sandra Fan . </cp:lastModifiedBy>
  <dcterms:modified xsi:type="dcterms:W3CDTF">2019-09-30T02:09:15Z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